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3D2BBE" w14:textId="16D6A91E" w:rsidR="000C4C2E" w:rsidRPr="0034611A" w:rsidRDefault="00A95E5E">
      <w:pPr>
        <w:rPr>
          <w:rFonts w:ascii="Verdana" w:hAnsi="Verdana"/>
          <w:b/>
          <w:bCs/>
        </w:rPr>
      </w:pPr>
      <w:r w:rsidRPr="0034611A">
        <w:rPr>
          <w:rFonts w:ascii="Verdana" w:hAnsi="Verdana"/>
          <w:b/>
          <w:bCs/>
        </w:rPr>
        <w:t>Våbenloven ændres fra 1. juli 2024</w:t>
      </w:r>
    </w:p>
    <w:p w14:paraId="0BB32A11" w14:textId="74E21CD1" w:rsidR="00A95E5E" w:rsidRDefault="00A95E5E">
      <w:pPr>
        <w:rPr>
          <w:rFonts w:ascii="Verdana" w:hAnsi="Verdana"/>
        </w:rPr>
      </w:pPr>
      <w:r>
        <w:rPr>
          <w:rFonts w:ascii="Verdana" w:hAnsi="Verdana"/>
        </w:rPr>
        <w:t>Folketinget har vedtaget ændringer i våbenloven, der udmønter dele af regeringens udspil om ”Strammere greb om våben”. Dette udspil er blandt andet en opfølgning på den tragiske sag fra Fields i juli 2022.</w:t>
      </w:r>
    </w:p>
    <w:p w14:paraId="26F5E4E0" w14:textId="4DB781B3" w:rsidR="00A95E5E" w:rsidRDefault="00A95E5E">
      <w:pPr>
        <w:rPr>
          <w:rFonts w:ascii="Verdana" w:hAnsi="Verdana"/>
        </w:rPr>
      </w:pPr>
      <w:r>
        <w:rPr>
          <w:rFonts w:ascii="Verdana" w:hAnsi="Verdana"/>
        </w:rPr>
        <w:t xml:space="preserve">De ændringer, som </w:t>
      </w:r>
      <w:r w:rsidR="00612E4B">
        <w:rPr>
          <w:rFonts w:ascii="Verdana" w:hAnsi="Verdana"/>
        </w:rPr>
        <w:t>særligt har betydning for skytter og skytteforeninger, er følgende:</w:t>
      </w:r>
    </w:p>
    <w:p w14:paraId="1B0EF436" w14:textId="44290E41" w:rsidR="00612E4B" w:rsidRDefault="00612E4B" w:rsidP="00612E4B">
      <w:pPr>
        <w:pStyle w:val="Listeafsnit"/>
        <w:numPr>
          <w:ilvl w:val="0"/>
          <w:numId w:val="1"/>
        </w:numPr>
        <w:rPr>
          <w:rFonts w:ascii="Verdana" w:hAnsi="Verdana"/>
        </w:rPr>
      </w:pPr>
      <w:r w:rsidRPr="0034611A">
        <w:rPr>
          <w:rFonts w:ascii="Verdana" w:hAnsi="Verdana"/>
          <w:b/>
          <w:bCs/>
        </w:rPr>
        <w:t>Der indføres formentlig en ordning, så der ved ansøgning om våbenpåtegning/våbentilladelse skal medsendes lægeerklæring</w:t>
      </w:r>
      <w:r w:rsidRPr="0034611A">
        <w:rPr>
          <w:rFonts w:ascii="Verdana" w:hAnsi="Verdana"/>
          <w:b/>
          <w:bCs/>
        </w:rPr>
        <w:br/>
      </w:r>
      <w:r>
        <w:rPr>
          <w:rFonts w:ascii="Verdana" w:hAnsi="Verdana"/>
        </w:rPr>
        <w:br/>
        <w:t xml:space="preserve">Der er indført hjemmel til, at justitsministeren kan </w:t>
      </w:r>
      <w:r w:rsidR="001C7299">
        <w:rPr>
          <w:rFonts w:ascii="Verdana" w:hAnsi="Verdana"/>
        </w:rPr>
        <w:t>fastsætte</w:t>
      </w:r>
      <w:r>
        <w:rPr>
          <w:rFonts w:ascii="Verdana" w:hAnsi="Verdana"/>
        </w:rPr>
        <w:t xml:space="preserve"> en ordning</w:t>
      </w:r>
      <w:r w:rsidR="001C7299">
        <w:rPr>
          <w:rFonts w:ascii="Verdana" w:hAnsi="Verdana"/>
        </w:rPr>
        <w:t xml:space="preserve">, hvor der ved ansøgning om våbenpåtegning, våbentilladelse o.l. skal være dokumentation for ansøgerens helbredstilstand. Baggrunden er et ønske om, at politiet får mulighed for systematisk at have indsigt i blandt andet </w:t>
      </w:r>
      <w:r w:rsidR="007A517A">
        <w:rPr>
          <w:rFonts w:ascii="Verdana" w:hAnsi="Verdana"/>
        </w:rPr>
        <w:t xml:space="preserve">alvorlig </w:t>
      </w:r>
      <w:r w:rsidR="001C7299">
        <w:rPr>
          <w:rFonts w:ascii="Verdana" w:hAnsi="Verdana"/>
        </w:rPr>
        <w:t>psykisk sygdom. Altså på samme måde som ved erhvervelse af kørekort, hvor lægeerklæring skal medfølge.</w:t>
      </w:r>
      <w:r w:rsidR="001C7299">
        <w:rPr>
          <w:rFonts w:ascii="Verdana" w:hAnsi="Verdana"/>
        </w:rPr>
        <w:br/>
      </w:r>
      <w:r w:rsidR="001C7299">
        <w:rPr>
          <w:rFonts w:ascii="Verdana" w:hAnsi="Verdana"/>
        </w:rPr>
        <w:br/>
        <w:t>Men hvordan ordningen bliver udformet og hvornår</w:t>
      </w:r>
      <w:r w:rsidR="0034611A">
        <w:rPr>
          <w:rFonts w:ascii="Verdana" w:hAnsi="Verdana"/>
        </w:rPr>
        <w:t>,</w:t>
      </w:r>
      <w:r w:rsidR="001C7299">
        <w:rPr>
          <w:rFonts w:ascii="Verdana" w:hAnsi="Verdana"/>
        </w:rPr>
        <w:t xml:space="preserve"> vides ikke. DGI og de øvrige organisationer er </w:t>
      </w:r>
      <w:r w:rsidR="0034611A">
        <w:rPr>
          <w:rFonts w:ascii="Verdana" w:hAnsi="Verdana"/>
        </w:rPr>
        <w:t>l</w:t>
      </w:r>
      <w:r w:rsidR="001C7299">
        <w:rPr>
          <w:rFonts w:ascii="Verdana" w:hAnsi="Verdana"/>
        </w:rPr>
        <w:t>ovet, at blive inddraget i den nærmere udformning af reglerne, som Justitsministeriet vil fastlægge i en bekendtgørelse.</w:t>
      </w:r>
      <w:r w:rsidR="001C7299">
        <w:rPr>
          <w:rFonts w:ascii="Verdana" w:hAnsi="Verdana"/>
        </w:rPr>
        <w:br/>
      </w:r>
    </w:p>
    <w:p w14:paraId="554E4A69" w14:textId="5C425482" w:rsidR="001C7299" w:rsidRDefault="001C7299" w:rsidP="00612E4B">
      <w:pPr>
        <w:pStyle w:val="Listeafsnit"/>
        <w:numPr>
          <w:ilvl w:val="0"/>
          <w:numId w:val="1"/>
        </w:numPr>
        <w:rPr>
          <w:rFonts w:ascii="Verdana" w:hAnsi="Verdana"/>
        </w:rPr>
      </w:pPr>
      <w:r w:rsidRPr="0034611A">
        <w:rPr>
          <w:rFonts w:ascii="Verdana" w:hAnsi="Verdana"/>
          <w:b/>
          <w:bCs/>
        </w:rPr>
        <w:t>Der er indført adgang til, at offentlige myndigheder kan indberette bekymring til politiet, om en person bør have våbenadgang</w:t>
      </w:r>
      <w:r w:rsidRPr="0034611A">
        <w:rPr>
          <w:rFonts w:ascii="Verdana" w:hAnsi="Verdana"/>
          <w:b/>
          <w:bCs/>
        </w:rPr>
        <w:br/>
      </w:r>
      <w:r>
        <w:rPr>
          <w:rFonts w:ascii="Verdana" w:hAnsi="Verdana"/>
        </w:rPr>
        <w:br/>
        <w:t>Denne nye mulighed skal ses i sammenhæng med, at der nok indføres krav om lægeerklæring ved ansøgninger. Den nye adgang til ”bekymringshenvendelser”</w:t>
      </w:r>
      <w:r w:rsidR="00152FA8">
        <w:rPr>
          <w:rFonts w:ascii="Verdana" w:hAnsi="Verdana"/>
        </w:rPr>
        <w:t xml:space="preserve"> </w:t>
      </w:r>
      <w:r w:rsidR="007A517A">
        <w:rPr>
          <w:rFonts w:ascii="Verdana" w:hAnsi="Verdana"/>
        </w:rPr>
        <w:t xml:space="preserve">fra myndigheder til politiet </w:t>
      </w:r>
      <w:r w:rsidR="00152FA8">
        <w:rPr>
          <w:rFonts w:ascii="Verdana" w:hAnsi="Verdana"/>
        </w:rPr>
        <w:t xml:space="preserve">kan have betydning for personer, der allerede har våben eller </w:t>
      </w:r>
      <w:r w:rsidR="007A517A">
        <w:rPr>
          <w:rFonts w:ascii="Verdana" w:hAnsi="Verdana"/>
        </w:rPr>
        <w:t xml:space="preserve">har </w:t>
      </w:r>
      <w:r w:rsidR="00152FA8">
        <w:rPr>
          <w:rFonts w:ascii="Verdana" w:hAnsi="Verdana"/>
        </w:rPr>
        <w:t>adgang til våben.</w:t>
      </w:r>
      <w:r w:rsidR="00152FA8">
        <w:rPr>
          <w:rFonts w:ascii="Verdana" w:hAnsi="Verdana"/>
        </w:rPr>
        <w:br/>
      </w:r>
    </w:p>
    <w:p w14:paraId="1895423A" w14:textId="3B97E941" w:rsidR="00152FA8" w:rsidRDefault="00152FA8" w:rsidP="00612E4B">
      <w:pPr>
        <w:pStyle w:val="Listeafsnit"/>
        <w:numPr>
          <w:ilvl w:val="0"/>
          <w:numId w:val="1"/>
        </w:numPr>
        <w:rPr>
          <w:rFonts w:ascii="Verdana" w:hAnsi="Verdana"/>
        </w:rPr>
      </w:pPr>
      <w:r w:rsidRPr="0034611A">
        <w:rPr>
          <w:rFonts w:ascii="Verdana" w:hAnsi="Verdana"/>
          <w:b/>
          <w:bCs/>
        </w:rPr>
        <w:t>Straffen for uforsvarlig opbevaring af våben skærpes</w:t>
      </w:r>
      <w:r>
        <w:rPr>
          <w:rFonts w:ascii="Verdana" w:hAnsi="Verdana"/>
        </w:rPr>
        <w:br/>
      </w:r>
      <w:r>
        <w:rPr>
          <w:rFonts w:ascii="Verdana" w:hAnsi="Verdana"/>
        </w:rPr>
        <w:br/>
        <w:t>Hvis lovlige våben ikke opbevares efter reglerne, vil straffen som minimum være en bøde på 10.000 kr.</w:t>
      </w:r>
      <w:r>
        <w:rPr>
          <w:rFonts w:ascii="Verdana" w:hAnsi="Verdana"/>
        </w:rPr>
        <w:br/>
      </w:r>
    </w:p>
    <w:p w14:paraId="161073EB" w14:textId="51529FAA" w:rsidR="00152FA8" w:rsidRDefault="00152FA8" w:rsidP="00612E4B">
      <w:pPr>
        <w:pStyle w:val="Listeafsnit"/>
        <w:numPr>
          <w:ilvl w:val="0"/>
          <w:numId w:val="1"/>
        </w:numPr>
        <w:rPr>
          <w:rFonts w:ascii="Verdana" w:hAnsi="Verdana"/>
        </w:rPr>
      </w:pPr>
      <w:r w:rsidRPr="0034611A">
        <w:rPr>
          <w:rFonts w:ascii="Verdana" w:hAnsi="Verdana"/>
          <w:b/>
          <w:bCs/>
        </w:rPr>
        <w:t>Straffen for brud på reglerne for afhændelse af våben skærpes</w:t>
      </w:r>
      <w:r>
        <w:rPr>
          <w:rFonts w:ascii="Verdana" w:hAnsi="Verdana"/>
        </w:rPr>
        <w:br/>
      </w:r>
      <w:r>
        <w:rPr>
          <w:rFonts w:ascii="Verdana" w:hAnsi="Verdana"/>
        </w:rPr>
        <w:br/>
        <w:t>Hvis en person/forening ikke længere er godkendt til at have våben, skal våbnet afhændes i løbet af fire uger. Straffen for ikke at overholde den regel skærpes, så der mindst idømmes en bøde på 10.000 kr.</w:t>
      </w:r>
      <w:r>
        <w:rPr>
          <w:rFonts w:ascii="Verdana" w:hAnsi="Verdana"/>
        </w:rPr>
        <w:br/>
      </w:r>
    </w:p>
    <w:p w14:paraId="02F4CAAA" w14:textId="346845AD" w:rsidR="00152FA8" w:rsidRDefault="00152FA8" w:rsidP="00612E4B">
      <w:pPr>
        <w:pStyle w:val="Listeafsnit"/>
        <w:numPr>
          <w:ilvl w:val="0"/>
          <w:numId w:val="1"/>
        </w:numPr>
        <w:rPr>
          <w:rFonts w:ascii="Verdana" w:hAnsi="Verdana"/>
        </w:rPr>
      </w:pPr>
      <w:r w:rsidRPr="0034611A">
        <w:rPr>
          <w:rFonts w:ascii="Verdana" w:hAnsi="Verdana"/>
          <w:b/>
          <w:bCs/>
        </w:rPr>
        <w:t>Straffen for ulovlig besiddelse af ammunition skærpes</w:t>
      </w:r>
      <w:r>
        <w:rPr>
          <w:rFonts w:ascii="Verdana" w:hAnsi="Verdana"/>
        </w:rPr>
        <w:br/>
      </w:r>
      <w:r>
        <w:rPr>
          <w:rFonts w:ascii="Verdana" w:hAnsi="Verdana"/>
        </w:rPr>
        <w:br/>
        <w:t>Ulovlig besiddelse af ammunition til våben pågældende har tilladelse til (f.eks. for store mængder) straffes mindst med en bøde på 1.400 kr.</w:t>
      </w:r>
      <w:r>
        <w:rPr>
          <w:rFonts w:ascii="Verdana" w:hAnsi="Verdana"/>
        </w:rPr>
        <w:br/>
      </w:r>
      <w:r>
        <w:rPr>
          <w:rFonts w:ascii="Verdana" w:hAnsi="Verdana"/>
        </w:rPr>
        <w:br/>
        <w:t xml:space="preserve">Ulovlig besiddelse af ammunition, fordi pågældende ikke har tilladelse til et </w:t>
      </w:r>
      <w:r>
        <w:rPr>
          <w:rFonts w:ascii="Verdana" w:hAnsi="Verdana"/>
        </w:rPr>
        <w:lastRenderedPageBreak/>
        <w:t xml:space="preserve">våben ammunitionen kan bruges til, </w:t>
      </w:r>
      <w:r w:rsidR="007E1ABC">
        <w:rPr>
          <w:rFonts w:ascii="Verdana" w:hAnsi="Verdana"/>
        </w:rPr>
        <w:t>straffes med</w:t>
      </w:r>
      <w:r>
        <w:rPr>
          <w:rFonts w:ascii="Verdana" w:hAnsi="Verdana"/>
        </w:rPr>
        <w:t xml:space="preserve"> mindst en bøde på 3.000 kr.</w:t>
      </w:r>
      <w:r w:rsidR="007E1ABC">
        <w:rPr>
          <w:rFonts w:ascii="Verdana" w:hAnsi="Verdana"/>
        </w:rPr>
        <w:br/>
      </w:r>
    </w:p>
    <w:p w14:paraId="512EDDA0" w14:textId="4D472274" w:rsidR="007E1ABC" w:rsidRDefault="007E1ABC" w:rsidP="00612E4B">
      <w:pPr>
        <w:pStyle w:val="Listeafsnit"/>
        <w:numPr>
          <w:ilvl w:val="0"/>
          <w:numId w:val="1"/>
        </w:numPr>
        <w:rPr>
          <w:rFonts w:ascii="Verdana" w:hAnsi="Verdana"/>
        </w:rPr>
      </w:pPr>
      <w:r w:rsidRPr="0034611A">
        <w:rPr>
          <w:rFonts w:ascii="Verdana" w:hAnsi="Verdana"/>
          <w:b/>
          <w:bCs/>
        </w:rPr>
        <w:t>Mulighed for at justitsministeren kan indføre regler, så straf for grovere lovovertrædelse automatisk får konsekvenser for at have våben</w:t>
      </w:r>
      <w:r w:rsidRPr="0034611A">
        <w:rPr>
          <w:rFonts w:ascii="Verdana" w:hAnsi="Verdana"/>
        </w:rPr>
        <w:br/>
      </w:r>
      <w:r>
        <w:rPr>
          <w:rFonts w:ascii="Verdana" w:hAnsi="Verdana"/>
        </w:rPr>
        <w:br/>
        <w:t xml:space="preserve">Der er skabt adgang til, at Justitsministeriet kan lave regler i en bekendtgørelse, så straf for visse grovere lovovertrædelser automatisk fører til, at der gives afslag på en ansøgning om våbenpåtegning/våbentilladelse i et vist tidsrum efter dommen. </w:t>
      </w:r>
      <w:r w:rsidR="0034611A">
        <w:rPr>
          <w:rFonts w:ascii="Verdana" w:hAnsi="Verdana"/>
        </w:rPr>
        <w:t>Det kan også ske efter de gældende regler, men så sker det efter en konkret vurdering. Fremover bliver det altså en automatisk konsekvens. Det samme bliver tilfældet, hvis en person har fået tilhold eller lignende.</w:t>
      </w:r>
      <w:r w:rsidR="0034611A">
        <w:rPr>
          <w:rFonts w:ascii="Verdana" w:hAnsi="Verdana"/>
        </w:rPr>
        <w:br/>
        <w:t xml:space="preserve">På </w:t>
      </w:r>
      <w:r w:rsidR="00331A41">
        <w:rPr>
          <w:rFonts w:ascii="Verdana" w:hAnsi="Verdana"/>
        </w:rPr>
        <w:t>lignende</w:t>
      </w:r>
      <w:r w:rsidR="0034611A">
        <w:rPr>
          <w:rFonts w:ascii="Verdana" w:hAnsi="Verdana"/>
        </w:rPr>
        <w:t xml:space="preserve"> måde kan der gives regler, så de pågældende forhold fører til</w:t>
      </w:r>
      <w:r w:rsidR="00331A41">
        <w:rPr>
          <w:rFonts w:ascii="Verdana" w:hAnsi="Verdana"/>
        </w:rPr>
        <w:t>,</w:t>
      </w:r>
      <w:r w:rsidR="0034611A">
        <w:rPr>
          <w:rFonts w:ascii="Verdana" w:hAnsi="Verdana"/>
        </w:rPr>
        <w:t xml:space="preserve"> at en bestående våbenpåtegning/våbentilladelse automatisk bortfalder.</w:t>
      </w:r>
      <w:r w:rsidR="0034611A">
        <w:rPr>
          <w:rFonts w:ascii="Verdana" w:hAnsi="Verdana"/>
        </w:rPr>
        <w:br/>
      </w:r>
      <w:r w:rsidR="0034611A">
        <w:rPr>
          <w:rFonts w:ascii="Verdana" w:hAnsi="Verdana"/>
        </w:rPr>
        <w:br/>
        <w:t>Men det vides ikke endnu, hvilke grovere lovovertrædelser, det kommer til at handle om, men det vil blandt andet blive overtrædelser af våbenloven og personfarlig kriminalitet. Det vides heller ikke, hvornår ordningen bliver indført.</w:t>
      </w:r>
      <w:r w:rsidR="0034611A">
        <w:rPr>
          <w:rFonts w:ascii="Verdana" w:hAnsi="Verdana"/>
        </w:rPr>
        <w:br/>
      </w:r>
    </w:p>
    <w:p w14:paraId="563EB978" w14:textId="156B14B7" w:rsidR="0034611A" w:rsidRPr="0034611A" w:rsidRDefault="0034611A" w:rsidP="0034611A">
      <w:pPr>
        <w:rPr>
          <w:rFonts w:ascii="Verdana" w:hAnsi="Verdana"/>
        </w:rPr>
      </w:pPr>
      <w:r>
        <w:rPr>
          <w:rFonts w:ascii="Verdana" w:hAnsi="Verdana"/>
        </w:rPr>
        <w:t>Skytteforeningernes Våbenregistrering/DGI Jura</w:t>
      </w:r>
      <w:r>
        <w:rPr>
          <w:rFonts w:ascii="Verdana" w:hAnsi="Verdana"/>
        </w:rPr>
        <w:br/>
        <w:t>30. maj 2024</w:t>
      </w:r>
    </w:p>
    <w:sectPr w:rsidR="0034611A" w:rsidRPr="0034611A">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CE7E2A"/>
    <w:multiLevelType w:val="hybridMultilevel"/>
    <w:tmpl w:val="0D14FA34"/>
    <w:lvl w:ilvl="0" w:tplc="5C9A16A8">
      <w:start w:val="1"/>
      <w:numFmt w:val="decimal"/>
      <w:lvlText w:val="%1."/>
      <w:lvlJc w:val="left"/>
      <w:pPr>
        <w:ind w:left="720" w:hanging="360"/>
      </w:pPr>
      <w:rPr>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1831945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5E"/>
    <w:rsid w:val="000B7C27"/>
    <w:rsid w:val="000C4C2E"/>
    <w:rsid w:val="00152FA8"/>
    <w:rsid w:val="001C7299"/>
    <w:rsid w:val="00331A41"/>
    <w:rsid w:val="0034611A"/>
    <w:rsid w:val="00612E4B"/>
    <w:rsid w:val="00792238"/>
    <w:rsid w:val="007A517A"/>
    <w:rsid w:val="007E1ABC"/>
    <w:rsid w:val="007F54A6"/>
    <w:rsid w:val="008054B2"/>
    <w:rsid w:val="00A95E5E"/>
    <w:rsid w:val="00F0723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131A8"/>
  <w15:chartTrackingRefBased/>
  <w15:docId w15:val="{0AC23DC0-818B-4E95-871F-1E25A5BBF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A95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A95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A95E5E"/>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A95E5E"/>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A95E5E"/>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A95E5E"/>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A95E5E"/>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A95E5E"/>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A95E5E"/>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A95E5E"/>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A95E5E"/>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A95E5E"/>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A95E5E"/>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A95E5E"/>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A95E5E"/>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A95E5E"/>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A95E5E"/>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A95E5E"/>
    <w:rPr>
      <w:rFonts w:eastAsiaTheme="majorEastAsia" w:cstheme="majorBidi"/>
      <w:color w:val="272727" w:themeColor="text1" w:themeTint="D8"/>
    </w:rPr>
  </w:style>
  <w:style w:type="paragraph" w:styleId="Titel">
    <w:name w:val="Title"/>
    <w:basedOn w:val="Normal"/>
    <w:next w:val="Normal"/>
    <w:link w:val="TitelTegn"/>
    <w:uiPriority w:val="10"/>
    <w:qFormat/>
    <w:rsid w:val="00A95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A95E5E"/>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A95E5E"/>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A95E5E"/>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A95E5E"/>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A95E5E"/>
    <w:rPr>
      <w:i/>
      <w:iCs/>
      <w:color w:val="404040" w:themeColor="text1" w:themeTint="BF"/>
    </w:rPr>
  </w:style>
  <w:style w:type="paragraph" w:styleId="Listeafsnit">
    <w:name w:val="List Paragraph"/>
    <w:basedOn w:val="Normal"/>
    <w:uiPriority w:val="34"/>
    <w:qFormat/>
    <w:rsid w:val="00A95E5E"/>
    <w:pPr>
      <w:ind w:left="720"/>
      <w:contextualSpacing/>
    </w:pPr>
  </w:style>
  <w:style w:type="character" w:styleId="Kraftigfremhvning">
    <w:name w:val="Intense Emphasis"/>
    <w:basedOn w:val="Standardskrifttypeiafsnit"/>
    <w:uiPriority w:val="21"/>
    <w:qFormat/>
    <w:rsid w:val="00A95E5E"/>
    <w:rPr>
      <w:i/>
      <w:iCs/>
      <w:color w:val="0F4761" w:themeColor="accent1" w:themeShade="BF"/>
    </w:rPr>
  </w:style>
  <w:style w:type="paragraph" w:styleId="Strktcitat">
    <w:name w:val="Intense Quote"/>
    <w:basedOn w:val="Normal"/>
    <w:next w:val="Normal"/>
    <w:link w:val="StrktcitatTegn"/>
    <w:uiPriority w:val="30"/>
    <w:qFormat/>
    <w:rsid w:val="00A95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A95E5E"/>
    <w:rPr>
      <w:i/>
      <w:iCs/>
      <w:color w:val="0F4761" w:themeColor="accent1" w:themeShade="BF"/>
    </w:rPr>
  </w:style>
  <w:style w:type="character" w:styleId="Kraftighenvisning">
    <w:name w:val="Intense Reference"/>
    <w:basedOn w:val="Standardskrifttypeiafsnit"/>
    <w:uiPriority w:val="32"/>
    <w:qFormat/>
    <w:rsid w:val="00A95E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489c1c-1323-4f7b-adc6-c1f10208410d">
      <Terms xmlns="http://schemas.microsoft.com/office/infopath/2007/PartnerControls"/>
    </lcf76f155ced4ddcb4097134ff3c332f>
    <TaxCatchAll xmlns="8f8c75d2-46c7-457e-93c5-f6c62938df6f" xsi:nil="true"/>
    <StatensArkiv xmlns="e47b5b1b-1096-4530-9e08-46f4857cfee6">false</StatensArkiv>
  </documentManagement>
</p:properties>
</file>

<file path=customXml/item2.xml><?xml version="1.0" encoding="utf-8"?>
<ct:contentTypeSchema xmlns:ct="http://schemas.microsoft.com/office/2006/metadata/contentType" xmlns:ma="http://schemas.microsoft.com/office/2006/metadata/properties/metaAttributes" ct:_="" ma:_="" ma:contentTypeName="DGIDocument" ma:contentTypeID="0x010100AA9900393F14F741BB1E0DF50549A254008A1ACD834B35EB40B0B950B6407EC4B7" ma:contentTypeVersion="16" ma:contentTypeDescription="Opret et nyt dokument." ma:contentTypeScope="" ma:versionID="5af3000184fce8706a42bd81a965e121">
  <xsd:schema xmlns:xsd="http://www.w3.org/2001/XMLSchema" xmlns:xs="http://www.w3.org/2001/XMLSchema" xmlns:p="http://schemas.microsoft.com/office/2006/metadata/properties" xmlns:ns2="e47b5b1b-1096-4530-9e08-46f4857cfee6" xmlns:ns3="76489c1c-1323-4f7b-adc6-c1f10208410d" xmlns:ns4="8f8c75d2-46c7-457e-93c5-f6c62938df6f" targetNamespace="http://schemas.microsoft.com/office/2006/metadata/properties" ma:root="true" ma:fieldsID="111ef7f1b259662db53b2484211370ba" ns2:_="" ns3:_="" ns4:_="">
    <xsd:import namespace="e47b5b1b-1096-4530-9e08-46f4857cfee6"/>
    <xsd:import namespace="76489c1c-1323-4f7b-adc6-c1f10208410d"/>
    <xsd:import namespace="8f8c75d2-46c7-457e-93c5-f6c62938df6f"/>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6489c1c-1323-4f7b-adc6-c1f10208410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8c75d2-46c7-457e-93c5-f6c62938df6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d265661-cbf1-4541-a3fe-e5136c97edcb}" ma:internalName="TaxCatchAll" ma:showField="CatchAllData" ma:web="8f8c75d2-46c7-457e-93c5-f6c62938df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xcel" ma:contentTypeID="0x0101002FC4A2EC31164BEC83D2656A73AEFD43001EE38777C8094E5A82621C34F39961500069C126DB1DA0DA41930253205A88117C" ma:contentTypeVersion="8" ma:contentTypeDescription="Opret et nyt dokument." ma:contentTypeScope="" ma:versionID="eb7b8f8a2dc588fbff857eecafe26467">
  <xsd:schema xmlns:xsd="http://www.w3.org/2001/XMLSchema" xmlns:xs="http://www.w3.org/2001/XMLSchema" xmlns:p="http://schemas.microsoft.com/office/2006/metadata/properties" xmlns:ns2="a012c09f-ef0c-44ad-b716-9b08c1392240" targetNamespace="http://schemas.microsoft.com/office/2006/metadata/properties" ma:root="true" ma:fieldsID="e023a455f913ebfe37607293aef4418e" ns2:_="">
    <xsd:import namespace="a012c09f-ef0c-44ad-b716-9b08c1392240"/>
    <xsd:element name="properties">
      <xsd:complexType>
        <xsd:sequence>
          <xsd:element name="documentManagement">
            <xsd:complexType>
              <xsd:all>
                <xsd:element ref="ns2:MimerDocId" minOccurs="0"/>
                <xsd:element ref="ns2:MimerDocPubDoc" minOccurs="0"/>
                <xsd:element ref="ns2:MimerSaveToArchive" minOccurs="0"/>
                <xsd:element ref="ns2:MimerExpirationDate" minOccurs="0"/>
                <xsd:element ref="ns2:MimerDocumentType" minOccurs="0"/>
                <xsd:element ref="ns2:MimerDocumentTempl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12c09f-ef0c-44ad-b716-9b08c1392240" elementFormDefault="qualified">
    <xsd:import namespace="http://schemas.microsoft.com/office/2006/documentManagement/types"/>
    <xsd:import namespace="http://schemas.microsoft.com/office/infopath/2007/PartnerControls"/>
    <xsd:element name="MimerDocId" ma:index="8" nillable="true" ma:displayName="Mimer dokument ID" ma:internalName="MimerDocId" ma:readOnly="true">
      <xsd:simpleType>
        <xsd:restriction base="dms:Text"/>
      </xsd:simpleType>
    </xsd:element>
    <xsd:element name="MimerDocPubDoc" ma:index="9" nillable="true" ma:displayName="Publicér til internet" ma:description="Dokumentet kan åbnes med et offentligt link, hvis dokumentet er gemt i et åbent dokumentbibliotek." ma:internalName="MimerDocPubDoc">
      <xsd:simpleType>
        <xsd:restriction base="dms:Boolean"/>
      </xsd:simpleType>
    </xsd:element>
    <xsd:element name="MimerSaveToArchive" ma:index="10" nillable="true" ma:displayName="Gem til statens arkiv" ma:internalName="MimerSaveToArchive">
      <xsd:simpleType>
        <xsd:restriction base="dms:Boolean"/>
      </xsd:simpleType>
    </xsd:element>
    <xsd:element name="MimerExpirationDate" ma:index="11" nillable="true" ma:displayName="Udløbsdato" ma:description="Efter udløbsdatoen medtages dokumentet ikke længere i søgeresultater." ma:format="DateOnly" ma:internalName="MimerExpirationDate">
      <xsd:simpleType>
        <xsd:restriction base="dms:DateTime"/>
      </xsd:simpleType>
    </xsd:element>
    <xsd:element name="MimerDocumentType" ma:index="12" nillable="true" ma:displayName="Dokumenttype" ma:description="Beskriver dokumentets type. Ret gerne teksten til den mest præcise beskrivelse af dokumenttypen, f.eks. Referat, Præsentation, Rapport e.l." ma:internalName="MimerDocumentType">
      <xsd:simpleType>
        <xsd:restriction base="dms:Text"/>
      </xsd:simpleType>
    </xsd:element>
    <xsd:element name="MimerDocumentTemplate" ma:index="13" nillable="true" ma:displayName="Dokumentskabelon" ma:description="Reference til den skabelon, dokumentet er oprettet ud fra." ma:internalName="MimerDocumentTemplat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ma:index="14" ma:displayName="Nøgleord"/>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C532C5-5DDB-429C-9562-B4F61D744425}"/>
</file>

<file path=customXml/itemProps2.xml><?xml version="1.0" encoding="utf-8"?>
<ds:datastoreItem xmlns:ds="http://schemas.openxmlformats.org/officeDocument/2006/customXml" ds:itemID="{33F4B8FC-2376-4A0B-B9BB-773CCE25E205}"/>
</file>

<file path=customXml/itemProps3.xml><?xml version="1.0" encoding="utf-8"?>
<ds:datastoreItem xmlns:ds="http://schemas.openxmlformats.org/officeDocument/2006/customXml" ds:itemID="{F9FA7E5B-88CF-4F25-AF73-B5BEAAB07446}"/>
</file>

<file path=customXml/itemProps4.xml><?xml version="1.0" encoding="utf-8"?>
<ds:datastoreItem xmlns:ds="http://schemas.openxmlformats.org/officeDocument/2006/customXml" ds:itemID="{ACCC5133-D0EA-45ED-BD66-A8234F276F25}"/>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2826</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Steen From Andersen</dc:creator>
  <cp:keywords/>
  <dc:description/>
  <cp:lastModifiedBy>Alice Lauridsen Bjerregaard</cp:lastModifiedBy>
  <cp:revision>2</cp:revision>
  <dcterms:created xsi:type="dcterms:W3CDTF">2024-05-30T06:44:00Z</dcterms:created>
  <dcterms:modified xsi:type="dcterms:W3CDTF">2024-05-30T06:44:00Z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0x010100AA9900393F14F741BB1E0DF50549A254008A1ACD834B35EB40B0B950B6407EC4B7</vt:lpwstr>
  </property>
  <property fmtid="{D5CDD505-2E9C-101B-9397-08002B2CF9AE}" pid="4" name="docLang">
    <vt:lpwstr>da</vt:lpwstr>
  </property>
  <property fmtid="{D5CDD505-2E9C-101B-9397-08002B2CF9AE}" pid="5" name="MediaServiceImageTags">
    <vt:lpwstr/>
  </property>
</Properties>
</file>